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8A349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81311E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9451CE">
        <w:rPr>
          <w:rFonts w:ascii="Times New Roman" w:hAnsi="Times New Roman" w:cs="Times New Roman"/>
          <w:lang w:val="sr-Latn-RS"/>
        </w:rPr>
        <w:t>Prema Regulativi (EC) br. 1907/2006)</w:t>
      </w:r>
      <w:r w:rsidRPr="0081311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8F5351">
        <w:rPr>
          <w:rFonts w:ascii="Times New Roman" w:hAnsi="Times New Roman" w:cs="Times New Roman"/>
          <w:lang w:val="sr-Latn-CS"/>
        </w:rPr>
        <w:t xml:space="preserve">Datum </w:t>
      </w:r>
      <w:r w:rsidR="002C36FB" w:rsidRPr="008F5351">
        <w:rPr>
          <w:rFonts w:ascii="Times New Roman" w:hAnsi="Times New Roman" w:cs="Times New Roman"/>
          <w:lang w:val="sr-Latn-RS"/>
        </w:rPr>
        <w:t>izrade</w:t>
      </w:r>
      <w:r w:rsidRPr="008F5351">
        <w:rPr>
          <w:rFonts w:ascii="Times New Roman" w:hAnsi="Times New Roman" w:cs="Times New Roman"/>
          <w:lang w:val="sr-Latn-CS"/>
        </w:rPr>
        <w:t xml:space="preserve">: </w:t>
      </w:r>
      <w:r w:rsidR="008F5351" w:rsidRPr="008F5351">
        <w:rPr>
          <w:rFonts w:ascii="Times New Roman" w:hAnsi="Times New Roman" w:cs="Times New Roman"/>
          <w:lang w:val="sr-Latn-CS"/>
        </w:rPr>
        <w:t>decembar, 2012</w:t>
      </w:r>
      <w:r w:rsidR="0004713E" w:rsidRPr="008F5351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34156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</w:t>
            </w:r>
            <w:r w:rsidR="00BA07AB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XA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ZYME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BA07AB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G2 G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BA07AB">
              <w:rPr>
                <w:rFonts w:ascii="Times-New-Roman" w:hAnsi="Times-New-Roman" w:cs="Times-New-Roman"/>
                <w:lang w:val="de-DE"/>
              </w:rPr>
              <w:t>u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8F5351">
        <w:trPr>
          <w:trHeight w:val="142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8F5351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8F5351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8F5351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8F5351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8F5351" w:rsidRDefault="00A3582C" w:rsidP="008F53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8F5351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8F5351">
              <w:rPr>
                <w:rFonts w:ascii="Times New Roman" w:eastAsia="Times New Roman" w:hAnsi="Times New Roman" w:cs="Times New Roman"/>
              </w:rPr>
              <w:t xml:space="preserve"> </w:t>
            </w:r>
            <w:r w:rsidR="008F5351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8F5351">
              <w:rPr>
                <w:rFonts w:ascii="Times New Roman" w:eastAsia="Times New Roman" w:hAnsi="Times New Roman" w:cs="Times New Roman"/>
              </w:rPr>
              <w:t>atovljev</w:t>
            </w:r>
            <w:r w:rsidR="008F5351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8F5351" w:rsidP="008F535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558C9">
        <w:trPr>
          <w:trHeight w:val="6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A07AB" w:rsidRPr="009F787D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Može i</w:t>
            </w:r>
            <w:r w:rsidR="008B2A29" w:rsidRPr="008B2A29">
              <w:rPr>
                <w:rFonts w:ascii="Times New Roman" w:eastAsia="Times New Roman" w:hAnsi="Times New Roman" w:cs="Times New Roman"/>
              </w:rPr>
              <w:t>zazva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 w:rsidR="008B2A29" w:rsidRPr="008B2A29">
              <w:rPr>
                <w:rFonts w:ascii="Times New Roman" w:eastAsia="Times New Roman" w:hAnsi="Times New Roman" w:cs="Times New Roman"/>
              </w:rPr>
              <w:t xml:space="preserve"> </w:t>
            </w:r>
            <w:r w:rsidR="008B2A29" w:rsidRPr="00E21BDC">
              <w:rPr>
                <w:rFonts w:ascii="Times New Roman" w:hAnsi="Times New Roman" w:cs="Times New Roman"/>
              </w:rPr>
              <w:t>senzibilizaciju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87D">
              <w:rPr>
                <w:rFonts w:ascii="Times New Roman" w:hAnsi="Times New Roman" w:cs="Times New Roman"/>
              </w:rPr>
              <w:t xml:space="preserve">pri udisanju.  </w:t>
            </w:r>
          </w:p>
          <w:p w:rsidR="008B2A29" w:rsidRPr="008B2A29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F787D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F4586F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osetljivost </w:t>
            </w:r>
            <w:r w:rsidR="00A3622A">
              <w:rPr>
                <w:rFonts w:ascii="Times-New-Roman" w:hAnsi="Times-New-Roman" w:cs="Times-New-Roman"/>
                <w:lang w:val="de-DE"/>
              </w:rPr>
              <w:t>pri udisanju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51E8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Osetljivost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8B2A29" w:rsidP="004851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mešavina koja sadrži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enzime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8558C9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4851F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</w:t>
            </w:r>
            <w:r w:rsidR="00F4586F">
              <w:rPr>
                <w:rFonts w:ascii="Times-New-Roman" w:hAnsi="Times-New-Roman" w:cs="Times-New-Roman"/>
                <w:b/>
              </w:rPr>
              <w:t>omponent</w:t>
            </w:r>
            <w:r>
              <w:rPr>
                <w:rFonts w:ascii="Times-New-Roman" w:hAnsi="Times-New-Roman" w:cs="Times-New-Roman"/>
                <w:b/>
              </w:rPr>
              <w:t>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9F787D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BA07AB" w:rsidTr="00BA07AB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cellulase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9012-54-8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232-734-4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&lt;  5</w:t>
            </w:r>
          </w:p>
        </w:tc>
      </w:tr>
      <w:tr w:rsidR="00BA07AB" w:rsidTr="00BA07AB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Glucanase, endo-1,3(4)-</w:t>
            </w:r>
            <w:r>
              <w:rPr>
                <w:rFonts w:ascii="Times New Roman" w:hAnsi="Times New Roman" w:cs="Times New Roman"/>
              </w:rPr>
              <w:t>β-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62213-14-3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263-462-4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&lt;  5</w:t>
            </w:r>
          </w:p>
        </w:tc>
      </w:tr>
      <w:tr w:rsidR="00BA07AB" w:rsidTr="008558C9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Xylanase, endo-1,4-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7AB" w:rsidRPr="009359FB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9025-57-4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7AB" w:rsidRPr="009359FB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232-800-2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7AB" w:rsidRPr="00831D13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A07AB" w:rsidRPr="00831D13" w:rsidRDefault="00BA07AB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&lt;  5</w:t>
            </w:r>
          </w:p>
        </w:tc>
      </w:tr>
      <w:tr w:rsidR="00BA07AB" w:rsidTr="008558C9">
        <w:trPr>
          <w:trHeight w:val="37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Ostale komponente</w:t>
            </w:r>
          </w:p>
        </w:tc>
      </w:tr>
      <w:tr w:rsidR="00BC048F" w:rsidTr="00BA07AB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Default="00BC048F" w:rsidP="00BC6B8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skrob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Default="00BC048F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9005-25-8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Default="00BC048F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232-679-6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Default="00BC048F" w:rsidP="00BC6B8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048F" w:rsidRDefault="00BC048F" w:rsidP="00BC0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30- &lt; </w:t>
            </w:r>
            <w:r>
              <w:rPr>
                <w:rFonts w:ascii="Times New Roman" w:hAnsi="Times New Roman" w:cs="Times New Roman"/>
                <w:lang w:val="sr-Latn-RS"/>
              </w:rPr>
              <w:t>=60</w:t>
            </w:r>
          </w:p>
        </w:tc>
      </w:tr>
      <w:tr w:rsidR="00BA07AB" w:rsidTr="009F787D">
        <w:trPr>
          <w:trHeight w:val="70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485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BA07AB" w:rsidTr="008558C9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A07AB" w:rsidRPr="00074FD9" w:rsidRDefault="00BA07A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BA07AB" w:rsidTr="00F63302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A07AB" w:rsidRPr="00A4469C" w:rsidRDefault="00BA07A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A07AB" w:rsidRPr="00A4469C" w:rsidRDefault="00BA07AB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opasnosti.Pokazati ovaj bezbednosni list u prisustvu lekara. 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Radi predostrožnosti isprati oko vodom. Ukloniti kontaktna sočiva. Zaštiti nepovređeno oko. Držati oko širom otvoreno u toku ispiranja. Ako ostanu simptomi konsultovati specijalistu.</w:t>
            </w:r>
          </w:p>
        </w:tc>
      </w:tr>
      <w:tr w:rsidR="00BA07AB" w:rsidTr="002739FC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07AB" w:rsidRPr="00A4469C" w:rsidRDefault="00BA07AB" w:rsidP="00505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Potražiti pomoć lekara.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A07AB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BC048F" w:rsidRDefault="00BC048F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048F" w:rsidRDefault="00BC048F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</w:t>
      </w:r>
      <w:r w:rsidR="00BA07AB">
        <w:rPr>
          <w:rFonts w:ascii="Times New Roman" w:hAnsi="Times New Roman" w:cs="Times New Roman"/>
          <w:i/>
          <w:sz w:val="20"/>
          <w:szCs w:val="20"/>
          <w:lang w:val="sr-Latn-RS"/>
        </w:rPr>
        <w:t>oxa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zyme®</w:t>
      </w:r>
      <w:r w:rsidR="00BA07AB">
        <w:rPr>
          <w:rFonts w:ascii="Times New Roman" w:hAnsi="Times New Roman" w:cs="Times New Roman"/>
          <w:i/>
          <w:sz w:val="20"/>
          <w:szCs w:val="20"/>
          <w:lang w:val="sr-Latn-RS"/>
        </w:rPr>
        <w:t>G2 G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D7EC8" w:rsidRPr="002C21D4" w:rsidRDefault="00AD7EC8" w:rsidP="00AD7E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F535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8B2A29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D7EC8" w:rsidRDefault="00AD7EC8" w:rsidP="00AD7EC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material,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Počistiti.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formiranje prašine koja se može udahnuti. Sprečiti prekoračenje granice izlaganja date u tački 8. Za mere lične zaštite videti tačku 8.  Pušenje, jelo i piće treba zabraniti u oblasti rukovanja ovim proizvodom. Obezbediti dovoljno provetravanje u radnim prostorijama.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27032E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BC048F" w:rsidP="00BC0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Zaštititi od vlage.</w:t>
            </w: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8558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>&lt; 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C2B9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A07AB" w:rsidRPr="002C21D4" w:rsidRDefault="00BA07AB" w:rsidP="00BA0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Roxazyme®G2 G)</w:t>
      </w:r>
    </w:p>
    <w:p w:rsidR="00BA07AB" w:rsidRPr="002C21D4" w:rsidRDefault="00BA07AB" w:rsidP="00BA07A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F535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C2B94" w:rsidRDefault="00EC2B94" w:rsidP="00EC2B9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318"/>
        <w:gridCol w:w="1890"/>
        <w:gridCol w:w="136"/>
        <w:gridCol w:w="314"/>
        <w:gridCol w:w="1202"/>
        <w:gridCol w:w="58"/>
        <w:gridCol w:w="1843"/>
        <w:gridCol w:w="1555"/>
        <w:gridCol w:w="9"/>
        <w:gridCol w:w="1648"/>
      </w:tblGrid>
      <w:tr w:rsidR="00F63302" w:rsidTr="00EC2B94">
        <w:trPr>
          <w:trHeight w:val="465"/>
          <w:jc w:val="center"/>
        </w:trPr>
        <w:tc>
          <w:tcPr>
            <w:tcW w:w="11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07476B">
        <w:trPr>
          <w:trHeight w:val="465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C2B94" w:rsidRPr="00A4469C" w:rsidTr="00BC048F">
        <w:trPr>
          <w:trHeight w:val="5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9451CE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51CE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9451CE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51CE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9451CE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9451CE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B937E1" w:rsidRDefault="00B937E1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r w:rsidRPr="00B937E1">
              <w:rPr>
                <w:rFonts w:ascii="Times New Roman" w:hAnsi="Times New Roman" w:cs="Times New Roman"/>
              </w:rPr>
              <w:t>Ažurirano</w:t>
            </w:r>
            <w:bookmarkEnd w:id="0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9451CE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Osnova</w:t>
            </w:r>
          </w:p>
        </w:tc>
      </w:tr>
      <w:tr w:rsidR="00BC048F" w:rsidRPr="00A4469C" w:rsidTr="00BC048F">
        <w:trPr>
          <w:trHeight w:val="7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C048F" w:rsidRPr="009451CE" w:rsidRDefault="00BC048F" w:rsidP="00BC6B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skrob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9451CE" w:rsidRDefault="00BC048F" w:rsidP="00BC6B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9451CE">
              <w:rPr>
                <w:rFonts w:ascii="Times New Roman" w:hAnsi="Times New Roman" w:cs="Times New Roman"/>
                <w:bCs/>
                <w:lang w:val="de-DE"/>
              </w:rPr>
              <w:t>9005-25-8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9451CE" w:rsidRDefault="00BC048F" w:rsidP="00BC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9451CE" w:rsidRDefault="00BC048F" w:rsidP="00BC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10 mg/m</w:t>
            </w:r>
            <w:r w:rsidRPr="009451C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9451CE" w:rsidRDefault="00BC048F" w:rsidP="00BC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C048F" w:rsidRPr="009451CE" w:rsidRDefault="00BC048F" w:rsidP="00BC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GB EH40</w:t>
            </w:r>
          </w:p>
        </w:tc>
      </w:tr>
      <w:tr w:rsidR="00EC2B94" w:rsidRPr="00147F3F" w:rsidTr="00BC048F">
        <w:trPr>
          <w:trHeight w:val="1088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9451CE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51CE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9451CE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9451CE" w:rsidRDefault="00EC2B94" w:rsidP="005552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9451C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51CE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9451CE">
              <w:rPr>
                <w:rFonts w:ascii="Times New Roman" w:hAnsi="Times New Roman" w:cs="Times New Roman"/>
                <w:vertAlign w:val="superscript"/>
              </w:rPr>
              <w:t>3</w:t>
            </w:r>
            <w:r w:rsidRPr="009451CE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555211">
              <w:rPr>
                <w:rFonts w:ascii="Times New Roman" w:hAnsi="Times New Roman" w:cs="Times New Roman"/>
              </w:rPr>
              <w:t>ako je</w:t>
            </w:r>
            <w:r w:rsidRPr="009451CE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</w:tc>
      </w:tr>
      <w:tr w:rsidR="00BC048F" w:rsidRPr="00147F3F" w:rsidTr="00BC048F">
        <w:trPr>
          <w:trHeight w:val="7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BC0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451CE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BC04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048F" w:rsidRPr="009451CE" w:rsidRDefault="00BC048F" w:rsidP="00BC0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BC048F" w:rsidRPr="00147F3F" w:rsidTr="00BC048F">
        <w:trPr>
          <w:trHeight w:val="7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EC2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4 mg/m</w:t>
            </w:r>
            <w:r w:rsidRPr="009451C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048F" w:rsidRPr="009451CE" w:rsidRDefault="00BC048F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GB EH40</w:t>
            </w:r>
          </w:p>
        </w:tc>
      </w:tr>
      <w:tr w:rsidR="00BC048F" w:rsidRPr="00147F3F" w:rsidTr="00BC048F">
        <w:trPr>
          <w:trHeight w:val="7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51CE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F" w:rsidRPr="009451CE" w:rsidRDefault="00BC048F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048F" w:rsidRPr="009451CE" w:rsidRDefault="00BC048F" w:rsidP="00351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51CE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4C7BA4" w:rsidTr="00BC048F">
        <w:trPr>
          <w:trHeight w:val="70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162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BC048F">
        <w:trPr>
          <w:trHeight w:val="70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465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Odgovarajuća maska sa filterom P3 (Evropska norma 143).</w:t>
            </w:r>
          </w:p>
        </w:tc>
      </w:tr>
      <w:tr w:rsidR="004C7BA4" w:rsidTr="00BC048F">
        <w:trPr>
          <w:trHeight w:val="465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Uzeti u obzir opasne karakteristike ovog proizvoda i specifičnost radnih uslova pri izboru adekvatnog tipa zaštitnih rukavica. </w:t>
            </w: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F217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strane.</w:t>
            </w:r>
          </w:p>
        </w:tc>
      </w:tr>
      <w:tr w:rsidR="009C50E8" w:rsidTr="00BC048F">
        <w:trPr>
          <w:trHeight w:val="465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  <w:tr w:rsidR="009C50E8" w:rsidTr="00BC048F">
        <w:trPr>
          <w:trHeight w:val="80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 Oprati ruke pre pauza i na kraju radnog dana. Ne udisati prašinu ili sprej maglu.</w:t>
            </w:r>
          </w:p>
        </w:tc>
      </w:tr>
      <w:tr w:rsidR="009C50E8" w:rsidTr="00BC048F">
        <w:trPr>
          <w:trHeight w:val="70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BC048F">
        <w:trPr>
          <w:trHeight w:val="80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BC048F">
        <w:trPr>
          <w:trHeight w:val="70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BC048F">
        <w:trPr>
          <w:trHeight w:val="80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4C7BA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granula</w:t>
            </w:r>
            <w:r w:rsidR="00BC048F">
              <w:rPr>
                <w:rFonts w:ascii="Times-New-Roman" w:hAnsi="Times-New-Roman" w:cs="Times-New-Roman"/>
              </w:rPr>
              <w:t>, 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BC048F">
        <w:trPr>
          <w:trHeight w:val="355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BC048F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Bež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BC048F">
        <w:trPr>
          <w:trHeight w:val="80"/>
          <w:jc w:val="center"/>
        </w:trPr>
        <w:tc>
          <w:tcPr>
            <w:tcW w:w="4691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BC048F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Bez mirisa</w:t>
            </w:r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BC048F">
        <w:trPr>
          <w:trHeight w:val="288"/>
          <w:jc w:val="center"/>
        </w:trPr>
        <w:tc>
          <w:tcPr>
            <w:tcW w:w="4241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BC048F">
        <w:trPr>
          <w:trHeight w:val="288"/>
          <w:jc w:val="center"/>
        </w:trPr>
        <w:tc>
          <w:tcPr>
            <w:tcW w:w="4241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BC048F" w:rsidRPr="002C21D4" w:rsidRDefault="00BC048F" w:rsidP="00BC04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Roxazyme®G2 G)</w:t>
      </w:r>
    </w:p>
    <w:p w:rsidR="00BC048F" w:rsidRPr="002C21D4" w:rsidRDefault="00BC048F" w:rsidP="00BC048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F535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C048F" w:rsidRDefault="00BC048F" w:rsidP="00BC048F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1351"/>
        <w:gridCol w:w="5413"/>
      </w:tblGrid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>- Tačka paljenja:</w:t>
            </w:r>
          </w:p>
        </w:tc>
        <w:tc>
          <w:tcPr>
            <w:tcW w:w="1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F21701" w:rsidP="006228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Ca. </w:t>
            </w:r>
            <w:r w:rsidR="006228A1">
              <w:rPr>
                <w:rFonts w:ascii="Times-New-Roman" w:hAnsi="Times-New-Roman" w:cs="Times-New-Roman"/>
                <w:lang w:val="de-DE"/>
              </w:rPr>
              <w:t>610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6228A1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Praktično nerastvorno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8F53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D12EC">
        <w:trPr>
          <w:trHeight w:val="8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228A1" w:rsidRPr="00A4469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Default="006228A1" w:rsidP="006228A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 (23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  <w:p w:rsidR="006228A1" w:rsidRPr="00A4469C" w:rsidRDefault="006228A1" w:rsidP="006228A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 (100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6228A1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Default="006228A1" w:rsidP="006228A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St(H) 1 (samleveni uzorak; srednja vrednost testiranog uzorka 0,061 mm, gubici pri sušenju 9%. Vrednost je određena  primenom modifikovane Hartmanove cevi)</w:t>
            </w:r>
          </w:p>
        </w:tc>
      </w:tr>
      <w:tr w:rsidR="006228A1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Default="006228A1" w:rsidP="006228A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= 370</w:t>
            </w:r>
            <w:r w:rsidRPr="006228A1">
              <w:rPr>
                <w:rFonts w:ascii="Times-New-Roman" w:hAnsi="Times-New-Roman" w:cs="Times-New-Roman"/>
                <w:lang w:val="de-DE"/>
              </w:rPr>
              <w:t>°C (</w:t>
            </w:r>
            <w:r>
              <w:rPr>
                <w:rFonts w:ascii="Times-New-Roman" w:hAnsi="Times-New-Roman" w:cs="Times-New-Roman"/>
                <w:lang w:val="de-DE"/>
              </w:rPr>
              <w:t xml:space="preserve">srednja vrednost testiranog uzorka 0,634 mm, </w:t>
            </w:r>
            <w:r w:rsidRPr="006228A1">
              <w:rPr>
                <w:rFonts w:ascii="Times-New-Roman" w:hAnsi="Times-New-Roman" w:cs="Times-New-Roman"/>
                <w:lang w:val="de-DE"/>
              </w:rPr>
              <w:t>određena u BAM pećnici)</w:t>
            </w:r>
          </w:p>
        </w:tc>
      </w:tr>
      <w:tr w:rsidR="003D12E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Default="006228A1" w:rsidP="006228A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ca. 5E+09 Oma(uzorak proizvoda,srednja vrednost testiranog uzorka 0,634 mm,gubitak pri sušenju 9,1%)</w:t>
            </w:r>
          </w:p>
        </w:tc>
      </w:tr>
      <w:tr w:rsidR="006228A1" w:rsidTr="003D12EC">
        <w:trPr>
          <w:trHeight w:val="20"/>
          <w:jc w:val="center"/>
        </w:trPr>
        <w:tc>
          <w:tcPr>
            <w:tcW w:w="424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6228A1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6228A1" w:rsidRPr="0016686C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A1" w:rsidRPr="00A4469C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6228A1" w:rsidRPr="00390899" w:rsidRDefault="006228A1" w:rsidP="003D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300-1 000 mJ (samleveni uzorak, srednja vrednost testi</w:t>
            </w:r>
            <w:r w:rsidR="003D12EC">
              <w:rPr>
                <w:rFonts w:ascii="Times-New-Roman" w:hAnsi="Times-New-Roman" w:cs="Times-New-Roman"/>
                <w:lang w:val="de-DE"/>
              </w:rPr>
              <w:t>-</w:t>
            </w:r>
            <w:r>
              <w:rPr>
                <w:rFonts w:ascii="Times-New-Roman" w:hAnsi="Times-New-Roman" w:cs="Times-New-Roman"/>
                <w:lang w:val="de-DE"/>
              </w:rPr>
              <w:t xml:space="preserve">ranog uzorka </w:t>
            </w:r>
            <w:r w:rsidR="003D12EC">
              <w:rPr>
                <w:rFonts w:ascii="Times-New-Roman" w:hAnsi="Times-New-Roman" w:cs="Times-New-Roman"/>
                <w:lang w:val="de-DE"/>
              </w:rPr>
              <w:t>0,061</w:t>
            </w:r>
            <w:r>
              <w:rPr>
                <w:rFonts w:ascii="Times-New-Roman" w:hAnsi="Times-New-Roman" w:cs="Times-New-Roman"/>
                <w:lang w:val="de-DE"/>
              </w:rPr>
              <w:t>mm,gubitak pri sušenju 9%</w:t>
            </w:r>
            <w:r>
              <w:rPr>
                <w:rFonts w:ascii="Times New Roman" w:hAnsi="Times New Roman" w:cs="Times New Roman"/>
                <w:lang w:val="de-DE"/>
              </w:rPr>
              <w:t>,EN 13821)</w:t>
            </w:r>
          </w:p>
        </w:tc>
      </w:tr>
      <w:tr w:rsidR="003D12EC" w:rsidTr="003D12EC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D12EC" w:rsidRDefault="003D12EC" w:rsidP="00BC6B8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  <w:tr w:rsidR="006228A1" w:rsidTr="003D12EC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28A1" w:rsidRDefault="006228A1" w:rsidP="00BC6B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</w:tbl>
    <w:p w:rsidR="006228A1" w:rsidRPr="002C21D4" w:rsidRDefault="006228A1" w:rsidP="006228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Roxazyme®G2 G)</w:t>
      </w:r>
    </w:p>
    <w:p w:rsidR="006228A1" w:rsidRPr="002C21D4" w:rsidRDefault="006228A1" w:rsidP="006228A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F535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6228A1" w:rsidRDefault="006228A1" w:rsidP="003D12EC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95276B" w:rsidTr="003D12EC">
        <w:trPr>
          <w:trHeight w:val="45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B37E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8158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Raspada se pri zagrevanju</w:t>
            </w:r>
            <w:r w:rsidR="003D12EC">
              <w:rPr>
                <w:rFonts w:ascii="Times-New-Roman" w:hAnsi="Times-New-Roman" w:cs="Times-New-Roman"/>
                <w:lang w:val="de-DE"/>
              </w:rPr>
              <w:t xml:space="preserve">.Mogu se dogoditi </w:t>
            </w:r>
            <w:r w:rsidR="00815886">
              <w:rPr>
                <w:rFonts w:ascii="Times-New-Roman" w:hAnsi="Times-New-Roman" w:cs="Times-New-Roman"/>
                <w:lang w:val="de-DE"/>
              </w:rPr>
              <w:t>silovite</w:t>
            </w:r>
            <w:r w:rsidR="003D12EC">
              <w:rPr>
                <w:rFonts w:ascii="Times-New-Roman" w:hAnsi="Times-New-Roman" w:cs="Times-New-Roman"/>
                <w:lang w:val="de-DE"/>
              </w:rPr>
              <w:t xml:space="preserve"> reakcije.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B37E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6B37E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B37E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F44D19" w:rsidP="006B37E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B37E9">
        <w:trPr>
          <w:trHeight w:val="242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B37E9">
        <w:trPr>
          <w:trHeight w:val="15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3D12EC" w:rsidP="00F44D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13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0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16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B37E9">
        <w:trPr>
          <w:trHeight w:val="12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Default="003D12EC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izaziva iritaciju kože (zec). Testirano na sličnom proizvodu koji ima značajno veću enzimsku aktivnost.</w:t>
            </w:r>
          </w:p>
          <w:p w:rsidR="003D12EC" w:rsidRPr="00A4469C" w:rsidRDefault="003D12EC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fototoksičan (zamorci). Nema fotoelergijske reakcije (zamorci).</w:t>
            </w:r>
            <w:r w:rsidR="006B37E9">
              <w:rPr>
                <w:rFonts w:ascii="Times-New-Roman" w:hAnsi="Times-New-Roman" w:cs="Times-New-Roman"/>
              </w:rPr>
              <w:t xml:space="preserve"> Pri dužem izlaganju može izazvati iritaciju</w:t>
            </w:r>
          </w:p>
        </w:tc>
      </w:tr>
      <w:tr w:rsidR="005252C9" w:rsidTr="006B37E9">
        <w:trPr>
          <w:trHeight w:val="648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3D12EC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izaziva iritaciju oka (zec). Testirano na sličnom proizvodu koji ima značajno veću enzimsku aktivnost.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5252C9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 w:rsidRPr="006E68A5">
              <w:rPr>
                <w:rFonts w:ascii="Times-New-Roman" w:hAnsi="Times-New-Roman" w:cs="Times-New-Roman"/>
              </w:rPr>
              <w:t xml:space="preserve">Može prouzrokovati </w:t>
            </w:r>
            <w:r w:rsidR="006E68A5">
              <w:rPr>
                <w:rFonts w:ascii="Times-New-Roman" w:hAnsi="Times-New-Roman" w:cs="Times-New-Roman"/>
              </w:rPr>
              <w:t xml:space="preserve">osetljivost </w:t>
            </w:r>
            <w:proofErr w:type="gramStart"/>
            <w:r w:rsidR="006E68A5">
              <w:rPr>
                <w:rFonts w:ascii="Times-New-Roman" w:hAnsi="Times-New-Roman" w:cs="Times-New-Roman"/>
              </w:rPr>
              <w:t xml:space="preserve">udisanjem </w:t>
            </w:r>
            <w:r w:rsidR="00F21701">
              <w:rPr>
                <w:rFonts w:ascii="Times-New-Roman" w:hAnsi="Times-New-Roman" w:cs="Times-New-Roman"/>
              </w:rPr>
              <w:t xml:space="preserve"> i</w:t>
            </w:r>
            <w:proofErr w:type="gramEnd"/>
            <w:r w:rsidR="00F21701">
              <w:rPr>
                <w:rFonts w:ascii="Times-New-Roman" w:hAnsi="Times-New-Roman" w:cs="Times-New-Roman"/>
              </w:rPr>
              <w:t xml:space="preserve"> alergijsku reakciju kod pojedinaca</w:t>
            </w:r>
            <w:r w:rsidR="00F44D19">
              <w:rPr>
                <w:rFonts w:ascii="Times-New-Roman" w:hAnsi="Times-New-Roman" w:cs="Times-New-Roman"/>
              </w:rPr>
              <w:t xml:space="preserve"> (</w:t>
            </w:r>
            <w:r w:rsidR="006B37E9">
              <w:rPr>
                <w:rFonts w:ascii="Times-New-Roman" w:hAnsi="Times-New-Roman" w:cs="Times-New-Roman"/>
              </w:rPr>
              <w:t>glucanase, endo-1,3(4)-</w:t>
            </w:r>
            <w:r w:rsidR="006B37E9">
              <w:rPr>
                <w:rFonts w:ascii="Times New Roman" w:hAnsi="Times New Roman" w:cs="Times New Roman"/>
              </w:rPr>
              <w:t xml:space="preserve">β-, </w:t>
            </w:r>
            <w:r w:rsidR="00F44D19">
              <w:rPr>
                <w:rFonts w:ascii="Times-New-Roman" w:hAnsi="Times-New-Roman" w:cs="Times-New-Roman"/>
              </w:rPr>
              <w:t>Xylanase, endo-1,4-)</w:t>
            </w:r>
            <w:r w:rsidR="00F21701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F2170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6E68A5">
              <w:rPr>
                <w:rFonts w:ascii="Times-New-Roman" w:hAnsi="Times-New-Roman" w:cs="Times-New-Roman"/>
              </w:rPr>
              <w:t xml:space="preserve">Može prouzrokovati </w:t>
            </w:r>
            <w:r>
              <w:rPr>
                <w:rFonts w:ascii="Times-New-Roman" w:hAnsi="Times-New-Roman" w:cs="Times-New-Roman"/>
              </w:rPr>
              <w:t>osetljivost udisanjem i alergijsku reakciju kod pojedinaca</w:t>
            </w:r>
            <w:r w:rsidR="001B1D22">
              <w:rPr>
                <w:rFonts w:ascii="Times-New-Roman" w:hAnsi="Times-New-Roman" w:cs="Times-New-Roman"/>
              </w:rPr>
              <w:t xml:space="preserve"> (</w:t>
            </w:r>
            <w:r w:rsidR="00F44D19">
              <w:rPr>
                <w:rFonts w:ascii="Times-New-Roman" w:hAnsi="Times-New-Roman" w:cs="Times-New-Roman"/>
              </w:rPr>
              <w:t>Xylanase, endo-1</w:t>
            </w:r>
            <w:proofErr w:type="gramStart"/>
            <w:r w:rsidR="00F44D19">
              <w:rPr>
                <w:rFonts w:ascii="Times-New-Roman" w:hAnsi="Times-New-Roman" w:cs="Times-New-Roman"/>
              </w:rPr>
              <w:t>,4</w:t>
            </w:r>
            <w:proofErr w:type="gramEnd"/>
            <w:r w:rsidR="00F44D19">
              <w:rPr>
                <w:rFonts w:ascii="Times-New-Roman" w:hAnsi="Times-New-Roman" w:cs="Times-New-Roman"/>
              </w:rPr>
              <w:t>-).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Default="003D12EC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NOA</w:t>
            </w:r>
            <w:r w:rsidR="00086AF8">
              <w:rPr>
                <w:rFonts w:ascii="Times-New-Roman,Bold" w:hAnsi="Times-New-Roman,Bold" w:cs="Times-New-Roman,Bold"/>
                <w:bCs/>
                <w:lang w:val="de-DE"/>
              </w:rPr>
              <w:t>E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L: 2000 mg/kg/danu</w:t>
            </w:r>
            <w:r w:rsidR="006B37E9">
              <w:rPr>
                <w:rFonts w:ascii="Times-New-Roman,Bold" w:hAnsi="Times-New-Roman,Bold" w:cs="Times-New-Roman,Bold"/>
                <w:bCs/>
                <w:lang w:val="de-DE"/>
              </w:rPr>
              <w:t xml:space="preserve"> (mešana hrana za životinje-pacov)</w:t>
            </w:r>
          </w:p>
          <w:p w:rsidR="006B37E9" w:rsidRPr="00A4469C" w:rsidRDefault="006B37E9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Subhronična studija toksičnosti (90 dana).</w:t>
            </w:r>
            <w:r>
              <w:rPr>
                <w:rFonts w:ascii="Times-New-Roman" w:hAnsi="Times-New-Roman" w:cs="Times-New-Roman"/>
              </w:rPr>
              <w:t xml:space="preserve"> Testirano na sličnom proizvodu koji ima značajno veću enzimsku aktivnost.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B37E9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mutagen (različiti test sistemi)</w:t>
            </w:r>
            <w:r w:rsidR="006E68A5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Testirano na sličnom proizvodu koji ima značajno veću enzimsku aktivnost.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BA07AB" w:rsidRPr="002C21D4" w:rsidRDefault="00BA07AB" w:rsidP="00BA0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Roxazyme®G2 G)</w:t>
      </w:r>
    </w:p>
    <w:p w:rsidR="00BA07AB" w:rsidRPr="002C21D4" w:rsidRDefault="00BA07AB" w:rsidP="00BA07A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F535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06DC">
        <w:trPr>
          <w:trHeight w:val="50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1B1D2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B1D2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B37E9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Ovaj proizvod nema poznate eko-toksične efekte. Podatak je baziran na osnovu informacija o komponentama proizvoda i ekotoksičnosti sličnih proizvoda.</w:t>
            </w:r>
          </w:p>
        </w:tc>
      </w:tr>
      <w:tr w:rsidR="00F44D19" w:rsidTr="006B37E9">
        <w:trPr>
          <w:trHeight w:val="162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6B37E9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44D19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44D19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7106D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E68A5" w:rsidRPr="00A4469C" w:rsidRDefault="006E68A5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E68A5" w:rsidTr="007106D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7106DC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B37E9" w:rsidP="006B37E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Očekuje se da je b</w:t>
            </w:r>
            <w:r w:rsidR="007106DC">
              <w:rPr>
                <w:rFonts w:ascii="Times-New-Roman" w:hAnsi="Times-New-Roman" w:cs="Times-New-Roman"/>
                <w:lang w:val="de-DE"/>
              </w:rPr>
              <w:t>iorazgradljiv proizvod</w:t>
            </w:r>
            <w:r w:rsidR="001B1D22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7106DC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7106D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7106DC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7106DC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6B37E9">
        <w:trPr>
          <w:trHeight w:val="51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7106DC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1B1D22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7106DC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 Odlaganje u životnu sredinu mora se izbeći.</w:t>
            </w:r>
          </w:p>
        </w:tc>
      </w:tr>
      <w:tr w:rsidR="0041337C" w:rsidTr="007106D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8F535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41337C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41337C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</w:tbl>
    <w:p w:rsidR="00BA07AB" w:rsidRPr="002C21D4" w:rsidRDefault="00BA07AB" w:rsidP="00BA0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Roxazyme®G2 G)</w:t>
      </w:r>
    </w:p>
    <w:p w:rsidR="00BA07AB" w:rsidRPr="002C21D4" w:rsidRDefault="00BA07AB" w:rsidP="00BA07A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F535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1337C" w:rsidTr="007106DC">
        <w:trPr>
          <w:trHeight w:val="7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14. PODACI O TRANSPORTU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41337C" w:rsidP="006B37E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Obeležavanje prema EC Direktivi 1999/45/EC 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41337C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Xn</w:t>
            </w:r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en-GB"/>
              </w:rPr>
              <w:t>Štetno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41337C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1B1D22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r w:rsidRPr="001B1D22">
              <w:rPr>
                <w:rFonts w:ascii="Times New Roman" w:hAnsi="Times New Roman" w:cs="Times New Roman"/>
              </w:rPr>
              <w:t>Može izazvati senzibilizaciju pri udisanju</w:t>
            </w:r>
            <w:r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41337C" w:rsidTr="001B1D22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41337C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S22- Ne udisati prašinu. </w:t>
            </w:r>
          </w:p>
          <w:p w:rsidR="0041337C" w:rsidRPr="00E21BDC" w:rsidRDefault="0041337C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S24- Izbegavati kontakt sa kožom. </w:t>
            </w:r>
          </w:p>
          <w:p w:rsidR="0041337C" w:rsidRPr="00E6184E" w:rsidRDefault="0041337C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</w:rPr>
              <w:t>S36/37</w:t>
            </w:r>
            <w:proofErr w:type="gramStart"/>
            <w:r w:rsidRPr="00E21BDC">
              <w:rPr>
                <w:rFonts w:ascii="Times New Roman" w:hAnsi="Times New Roman" w:cs="Times New Roman"/>
              </w:rPr>
              <w:t>-  Nositi</w:t>
            </w:r>
            <w:proofErr w:type="gramEnd"/>
            <w:r w:rsidRPr="00E21BDC">
              <w:rPr>
                <w:rFonts w:ascii="Times New Roman" w:hAnsi="Times New Roman" w:cs="Times New Roman"/>
              </w:rPr>
              <w:t xml:space="preserve"> odgovarajuću zaštitnu odeću i rukavice.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1337C" w:rsidTr="001B1D22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337C" w:rsidRPr="00C57663" w:rsidRDefault="0041337C" w:rsidP="00074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6B37E9" w:rsidRDefault="006B37E9" w:rsidP="007106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>9012-54-8      Cellulase</w:t>
            </w:r>
          </w:p>
          <w:p w:rsidR="006B37E9" w:rsidRDefault="006B37E9" w:rsidP="007106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>62213-14-3    Glucanase, endo-1,3(4)-β-</w:t>
            </w:r>
          </w:p>
          <w:p w:rsidR="0041337C" w:rsidRPr="00C57663" w:rsidRDefault="0041337C" w:rsidP="007106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 w:rsidR="007106DC">
              <w:rPr>
                <w:rFonts w:ascii="Times New Roman" w:hAnsi="Times New Roman" w:cs="Times New Roman"/>
              </w:rPr>
              <w:t>9025-57-4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7106DC">
              <w:rPr>
                <w:rFonts w:ascii="Times New Roman" w:hAnsi="Times New Roman" w:cs="Times New Roman"/>
              </w:rPr>
              <w:t>Xylanase, endo-1,4-</w:t>
            </w:r>
          </w:p>
        </w:tc>
      </w:tr>
      <w:tr w:rsidR="0041337C" w:rsidTr="0027286B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9621A5" w:rsidRDefault="005F0560" w:rsidP="001B1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r w:rsidRPr="00E21BDC">
              <w:rPr>
                <w:rFonts w:ascii="Times New Roman" w:hAnsi="Times New Roman" w:cs="Times New Roman"/>
              </w:rPr>
              <w:t xml:space="preserve">Može izazvati senzibilizaciju pri udisanju.  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</w:tbl>
    <w:p w:rsidR="00BA07AB" w:rsidRPr="002C21D4" w:rsidRDefault="00BA07AB" w:rsidP="00BA0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Roxazyme®G2 G)</w:t>
      </w:r>
    </w:p>
    <w:p w:rsidR="00BA07AB" w:rsidRPr="002C21D4" w:rsidRDefault="00BA07AB" w:rsidP="00BA07A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F535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BC22EF" w:rsidTr="007106DC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lastRenderedPageBreak/>
              <w:t>- Ostali podaci: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106DC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8F5351" w:rsidTr="00155652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F5351" w:rsidRDefault="008F5351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106DC" w:rsidRDefault="007106D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A07AB" w:rsidRPr="002C21D4" w:rsidRDefault="00BA07AB" w:rsidP="00BA0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Roxazyme®G2 G)</w:t>
      </w:r>
    </w:p>
    <w:p w:rsidR="00BA07AB" w:rsidRPr="002C21D4" w:rsidRDefault="00BA07AB" w:rsidP="00BA07A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8F5351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8A3492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44" w:rsidRDefault="00E01D44" w:rsidP="005E0553">
      <w:pPr>
        <w:spacing w:after="0" w:line="240" w:lineRule="auto"/>
      </w:pPr>
      <w:r>
        <w:separator/>
      </w:r>
    </w:p>
  </w:endnote>
  <w:endnote w:type="continuationSeparator" w:id="0">
    <w:p w:rsidR="00E01D44" w:rsidRDefault="00E01D44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44" w:rsidRDefault="00E01D44" w:rsidP="005E0553">
      <w:pPr>
        <w:spacing w:after="0" w:line="240" w:lineRule="auto"/>
      </w:pPr>
      <w:r>
        <w:separator/>
      </w:r>
    </w:p>
  </w:footnote>
  <w:footnote w:type="continuationSeparator" w:id="0">
    <w:p w:rsidR="00E01D44" w:rsidRDefault="00E01D44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B" w:rsidRDefault="00BA07AB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07AB" w:rsidRPr="00D23B93" w:rsidRDefault="00BA07AB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4A79"/>
    <w:rsid w:val="00067DCF"/>
    <w:rsid w:val="0007476B"/>
    <w:rsid w:val="00074FD9"/>
    <w:rsid w:val="00085431"/>
    <w:rsid w:val="00086AF8"/>
    <w:rsid w:val="00096130"/>
    <w:rsid w:val="000E3E04"/>
    <w:rsid w:val="000F2585"/>
    <w:rsid w:val="00117B76"/>
    <w:rsid w:val="0012537F"/>
    <w:rsid w:val="001273F5"/>
    <w:rsid w:val="001472BC"/>
    <w:rsid w:val="00147F3F"/>
    <w:rsid w:val="00152071"/>
    <w:rsid w:val="001B1D22"/>
    <w:rsid w:val="001F4CB2"/>
    <w:rsid w:val="002052E7"/>
    <w:rsid w:val="00234156"/>
    <w:rsid w:val="00264501"/>
    <w:rsid w:val="00266788"/>
    <w:rsid w:val="0027032E"/>
    <w:rsid w:val="0027286B"/>
    <w:rsid w:val="002739FC"/>
    <w:rsid w:val="002866E7"/>
    <w:rsid w:val="0028690C"/>
    <w:rsid w:val="002925BF"/>
    <w:rsid w:val="002A36C3"/>
    <w:rsid w:val="002B13B9"/>
    <w:rsid w:val="002C1ECB"/>
    <w:rsid w:val="002C21D4"/>
    <w:rsid w:val="002C36FB"/>
    <w:rsid w:val="002C7808"/>
    <w:rsid w:val="00303300"/>
    <w:rsid w:val="0032758A"/>
    <w:rsid w:val="00335A8D"/>
    <w:rsid w:val="00351689"/>
    <w:rsid w:val="00351E80"/>
    <w:rsid w:val="00356F05"/>
    <w:rsid w:val="0038518E"/>
    <w:rsid w:val="00394137"/>
    <w:rsid w:val="0039538E"/>
    <w:rsid w:val="003B3B37"/>
    <w:rsid w:val="003D12EC"/>
    <w:rsid w:val="003F131A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851FC"/>
    <w:rsid w:val="004C7BA4"/>
    <w:rsid w:val="00505DE2"/>
    <w:rsid w:val="005148B0"/>
    <w:rsid w:val="005252C9"/>
    <w:rsid w:val="00536A1D"/>
    <w:rsid w:val="005377C2"/>
    <w:rsid w:val="00555211"/>
    <w:rsid w:val="005979D5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28A1"/>
    <w:rsid w:val="006351DF"/>
    <w:rsid w:val="0063635E"/>
    <w:rsid w:val="006558E6"/>
    <w:rsid w:val="006669A8"/>
    <w:rsid w:val="0067694D"/>
    <w:rsid w:val="00676F94"/>
    <w:rsid w:val="006812B4"/>
    <w:rsid w:val="006A1DEE"/>
    <w:rsid w:val="006B37E9"/>
    <w:rsid w:val="006B5251"/>
    <w:rsid w:val="006C720B"/>
    <w:rsid w:val="006D1224"/>
    <w:rsid w:val="006E27B7"/>
    <w:rsid w:val="006E68A5"/>
    <w:rsid w:val="006F2F8B"/>
    <w:rsid w:val="006F43A9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D59BC"/>
    <w:rsid w:val="007D61B6"/>
    <w:rsid w:val="007E419C"/>
    <w:rsid w:val="007E53B6"/>
    <w:rsid w:val="007E59D4"/>
    <w:rsid w:val="00811949"/>
    <w:rsid w:val="0081311E"/>
    <w:rsid w:val="00813673"/>
    <w:rsid w:val="008151FC"/>
    <w:rsid w:val="00815886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E09B3"/>
    <w:rsid w:val="008E49CB"/>
    <w:rsid w:val="008F5351"/>
    <w:rsid w:val="00902FC3"/>
    <w:rsid w:val="00914E90"/>
    <w:rsid w:val="00917F6A"/>
    <w:rsid w:val="009309C6"/>
    <w:rsid w:val="009359FB"/>
    <w:rsid w:val="009451CE"/>
    <w:rsid w:val="00950FFF"/>
    <w:rsid w:val="0095276B"/>
    <w:rsid w:val="00960B7C"/>
    <w:rsid w:val="009621A5"/>
    <w:rsid w:val="009634D6"/>
    <w:rsid w:val="00980C6D"/>
    <w:rsid w:val="00981B20"/>
    <w:rsid w:val="009A04C5"/>
    <w:rsid w:val="009C50E8"/>
    <w:rsid w:val="009F787D"/>
    <w:rsid w:val="00A00327"/>
    <w:rsid w:val="00A123E5"/>
    <w:rsid w:val="00A25630"/>
    <w:rsid w:val="00A3582C"/>
    <w:rsid w:val="00A35FBB"/>
    <w:rsid w:val="00A3622A"/>
    <w:rsid w:val="00A508F7"/>
    <w:rsid w:val="00A84B29"/>
    <w:rsid w:val="00AA3358"/>
    <w:rsid w:val="00AB4E3D"/>
    <w:rsid w:val="00AD7EC8"/>
    <w:rsid w:val="00B12957"/>
    <w:rsid w:val="00B50CEA"/>
    <w:rsid w:val="00B60E28"/>
    <w:rsid w:val="00B924FE"/>
    <w:rsid w:val="00B937E1"/>
    <w:rsid w:val="00BA07AB"/>
    <w:rsid w:val="00BC048F"/>
    <w:rsid w:val="00BC22EF"/>
    <w:rsid w:val="00BD7869"/>
    <w:rsid w:val="00BE2459"/>
    <w:rsid w:val="00BF48A2"/>
    <w:rsid w:val="00C00128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A538A"/>
    <w:rsid w:val="00DC08B6"/>
    <w:rsid w:val="00DC46A9"/>
    <w:rsid w:val="00DC4F00"/>
    <w:rsid w:val="00DE34B9"/>
    <w:rsid w:val="00E01D44"/>
    <w:rsid w:val="00E13312"/>
    <w:rsid w:val="00E21BDC"/>
    <w:rsid w:val="00E34D54"/>
    <w:rsid w:val="00E363F8"/>
    <w:rsid w:val="00E5128F"/>
    <w:rsid w:val="00E614B5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F3E95"/>
    <w:rsid w:val="00EF43C3"/>
    <w:rsid w:val="00EF58BD"/>
    <w:rsid w:val="00F103C0"/>
    <w:rsid w:val="00F21701"/>
    <w:rsid w:val="00F41802"/>
    <w:rsid w:val="00F44D19"/>
    <w:rsid w:val="00F4586F"/>
    <w:rsid w:val="00F63302"/>
    <w:rsid w:val="00F65A6A"/>
    <w:rsid w:val="00F87B4D"/>
    <w:rsid w:val="00F92024"/>
    <w:rsid w:val="00FA3ED0"/>
    <w:rsid w:val="00FC3855"/>
    <w:rsid w:val="00FC4D1B"/>
    <w:rsid w:val="00FD39FE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B713-D2C8-4963-9BA6-799BBEAE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12</cp:revision>
  <dcterms:created xsi:type="dcterms:W3CDTF">2012-12-04T13:26:00Z</dcterms:created>
  <dcterms:modified xsi:type="dcterms:W3CDTF">2013-01-25T13:22:00Z</dcterms:modified>
</cp:coreProperties>
</file>